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BE" w:rsidRPr="0055616F" w:rsidRDefault="00B325B4" w:rsidP="00B325B4">
      <w:pPr>
        <w:jc w:val="center"/>
        <w:rPr>
          <w:rFonts w:asciiTheme="majorBidi" w:hAnsiTheme="majorBidi" w:cstheme="majorBidi" w:hint="cs"/>
          <w:b/>
          <w:bCs/>
          <w:sz w:val="36"/>
          <w:szCs w:val="36"/>
          <w:rtl/>
        </w:rPr>
      </w:pPr>
      <w:r w:rsidRPr="0055616F">
        <w:rPr>
          <w:rFonts w:asciiTheme="majorBidi" w:hAnsiTheme="majorBidi" w:cstheme="majorBidi"/>
          <w:b/>
          <w:bCs/>
          <w:sz w:val="36"/>
          <w:szCs w:val="36"/>
        </w:rPr>
        <w:t>Résultats enregistrés dans le domaine de la Coopération Technique au cours de l'année 2023</w:t>
      </w:r>
    </w:p>
    <w:p w:rsidR="0055616F" w:rsidRPr="00B325B4" w:rsidRDefault="0055616F" w:rsidP="00B325B4">
      <w:pPr>
        <w:jc w:val="center"/>
        <w:rPr>
          <w:rFonts w:asciiTheme="majorBidi" w:hAnsiTheme="majorBidi" w:cstheme="majorBidi"/>
          <w:b/>
          <w:bCs/>
          <w:sz w:val="32"/>
          <w:szCs w:val="32"/>
        </w:rPr>
      </w:pP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Au cours de l'année 2023, l'Agence Tunisienne de Coopération Technique a réalisé d'importants progrès dans la concrétisation de ses objectifs en poursuivant ses efforts et contributions dans les différents domaines de son intervention, notamment en ce qui concerne le placement à l'étranger, les programmes de mobilité et de migration organisée, et en matière de développement de la coopération Sud-Sud, visant à échanger des connaissances et des expériences avec des pays frères et amis pour atteindre les objectifs de développement</w:t>
      </w:r>
    </w:p>
    <w:p w:rsidR="00B325B4" w:rsidRPr="0055616F" w:rsidRDefault="0055616F" w:rsidP="00B325B4">
      <w:pPr>
        <w:pStyle w:val="Paragraphedeliste"/>
        <w:numPr>
          <w:ilvl w:val="0"/>
          <w:numId w:val="2"/>
        </w:numPr>
        <w:spacing w:line="240" w:lineRule="auto"/>
        <w:jc w:val="both"/>
        <w:rPr>
          <w:rFonts w:asciiTheme="majorBidi" w:hAnsiTheme="majorBidi" w:cstheme="majorBidi"/>
          <w:sz w:val="32"/>
          <w:szCs w:val="32"/>
        </w:rPr>
      </w:pPr>
      <w:r w:rsidRPr="0055616F">
        <w:rPr>
          <w:rStyle w:val="Emphaseple"/>
          <w:rFonts w:asciiTheme="majorBidi" w:hAnsiTheme="majorBidi" w:cstheme="majorBidi"/>
          <w:b/>
          <w:bCs/>
          <w:color w:val="FF0000"/>
          <w:sz w:val="32"/>
          <w:szCs w:val="32"/>
        </w:rPr>
        <w:t>Placement à l’étranger</w:t>
      </w:r>
      <w:r w:rsidR="00B325B4" w:rsidRPr="0055616F">
        <w:rPr>
          <w:rFonts w:asciiTheme="majorBidi" w:hAnsiTheme="majorBidi" w:cstheme="majorBidi"/>
          <w:sz w:val="32"/>
          <w:szCs w:val="32"/>
        </w:rPr>
        <w:t xml:space="preserve"> </w:t>
      </w:r>
    </w:p>
    <w:p w:rsidR="00B325B4" w:rsidRPr="00B325B4" w:rsidRDefault="00B325B4" w:rsidP="0055616F">
      <w:pPr>
        <w:jc w:val="both"/>
        <w:rPr>
          <w:rFonts w:asciiTheme="majorBidi" w:hAnsiTheme="majorBidi" w:cstheme="majorBidi"/>
          <w:sz w:val="32"/>
          <w:szCs w:val="32"/>
        </w:rPr>
      </w:pPr>
      <w:r w:rsidRPr="00B325B4">
        <w:rPr>
          <w:rFonts w:asciiTheme="majorBidi" w:hAnsiTheme="majorBidi" w:cstheme="majorBidi"/>
          <w:sz w:val="32"/>
          <w:szCs w:val="32"/>
        </w:rPr>
        <w:t xml:space="preserve">Le nombre total de recrutés par  L’Agence Tunisienne de Coopération Technique a augmenté de manière significative au cours de l’année 2023, soit un total de 4.510 recrutés contre 3.511 au cours de l'année 2022 et 2.486 au cours de l'année 2021, enregistrant une augmentation de 28% entre les années 2022 et 2023. </w:t>
      </w:r>
    </w:p>
    <w:p w:rsidR="00B325B4" w:rsidRPr="00B325B4" w:rsidRDefault="00B325B4" w:rsidP="0055616F">
      <w:pPr>
        <w:jc w:val="both"/>
        <w:rPr>
          <w:rFonts w:asciiTheme="majorBidi" w:hAnsiTheme="majorBidi" w:cstheme="majorBidi"/>
          <w:sz w:val="32"/>
          <w:szCs w:val="32"/>
        </w:rPr>
      </w:pPr>
      <w:r w:rsidRPr="00B325B4">
        <w:rPr>
          <w:rFonts w:asciiTheme="majorBidi" w:hAnsiTheme="majorBidi" w:cstheme="majorBidi"/>
          <w:sz w:val="32"/>
          <w:szCs w:val="32"/>
        </w:rPr>
        <w:t>Quant à la répartition géographique, l’Allemagne s'est classée première en termes de nombre de personnes recrutées au cours de l'année 2023, avec un total de 872 recrutés, soit environ 20 % du nombre total de recrutements, suivie du Canada avec un total de 738 recrutés, puis de l'Arabie Saoudite avec 564 recrutés. La France avec 542 recrutés, Oman avec 444 recrutés, puis l'Italie avec 339.</w:t>
      </w:r>
    </w:p>
    <w:p w:rsidR="00B325B4" w:rsidRPr="00B325B4" w:rsidRDefault="00B325B4" w:rsidP="0055616F">
      <w:pPr>
        <w:jc w:val="both"/>
        <w:rPr>
          <w:rFonts w:asciiTheme="majorBidi" w:hAnsiTheme="majorBidi" w:cstheme="majorBidi"/>
          <w:sz w:val="32"/>
          <w:szCs w:val="32"/>
        </w:rPr>
      </w:pPr>
      <w:r w:rsidRPr="00B325B4">
        <w:rPr>
          <w:rFonts w:asciiTheme="majorBidi" w:hAnsiTheme="majorBidi" w:cstheme="majorBidi"/>
          <w:sz w:val="32"/>
          <w:szCs w:val="32"/>
        </w:rPr>
        <w:t xml:space="preserve">En termes de répartition sectorielle des recrutés au cours de l'année 2023, le secteur de la santé arrive en tête des recrutés avec 1. 839 personnels médicaux et paramédicaux, soit 41% du nombre total de recrutés, suivi du secteur de l'éducation avec </w:t>
      </w:r>
      <w:proofErr w:type="gramStart"/>
      <w:r w:rsidRPr="00B325B4">
        <w:rPr>
          <w:rFonts w:asciiTheme="majorBidi" w:hAnsiTheme="majorBidi" w:cstheme="majorBidi"/>
          <w:sz w:val="32"/>
          <w:szCs w:val="32"/>
        </w:rPr>
        <w:t>904 ,</w:t>
      </w:r>
      <w:proofErr w:type="gramEnd"/>
      <w:r w:rsidRPr="00B325B4">
        <w:rPr>
          <w:rFonts w:asciiTheme="majorBidi" w:hAnsiTheme="majorBidi" w:cstheme="majorBidi"/>
          <w:sz w:val="32"/>
          <w:szCs w:val="32"/>
        </w:rPr>
        <w:t xml:space="preserve"> puis de l'administration 303 recrutés, le sports avec 253 recrutés, les services 249 et l’informatique et les médias avec 228 recrutés.</w:t>
      </w:r>
    </w:p>
    <w:p w:rsidR="00B325B4" w:rsidRPr="00B325B4" w:rsidRDefault="00B325B4" w:rsidP="0055616F">
      <w:pPr>
        <w:jc w:val="both"/>
        <w:rPr>
          <w:rFonts w:asciiTheme="majorBidi" w:hAnsiTheme="majorBidi" w:cstheme="majorBidi"/>
          <w:sz w:val="32"/>
          <w:szCs w:val="32"/>
        </w:rPr>
      </w:pPr>
      <w:r w:rsidRPr="00B325B4">
        <w:rPr>
          <w:rFonts w:asciiTheme="majorBidi" w:hAnsiTheme="majorBidi" w:cstheme="majorBidi"/>
          <w:sz w:val="32"/>
          <w:szCs w:val="32"/>
        </w:rPr>
        <w:lastRenderedPageBreak/>
        <w:t>Au 31 décembre 2023, le nombre total de des coopérants exerçant à l’étranger détachés à l’agence a atteint 25.084 coopérants, contre 22.846 coopérants en 2022, soit une augmentation d'environ 10%.</w:t>
      </w:r>
    </w:p>
    <w:p w:rsidR="00B325B4" w:rsidRPr="00B325B4" w:rsidRDefault="00B325B4" w:rsidP="0055616F">
      <w:pPr>
        <w:jc w:val="both"/>
        <w:rPr>
          <w:rFonts w:asciiTheme="majorBidi" w:hAnsiTheme="majorBidi" w:cstheme="majorBidi"/>
          <w:sz w:val="32"/>
          <w:szCs w:val="32"/>
        </w:rPr>
      </w:pPr>
      <w:r w:rsidRPr="00B325B4">
        <w:rPr>
          <w:rFonts w:asciiTheme="majorBidi" w:hAnsiTheme="majorBidi" w:cstheme="majorBidi"/>
          <w:sz w:val="32"/>
          <w:szCs w:val="32"/>
        </w:rPr>
        <w:t>Concernant la répartition géographique des coopérants, le nombre total de coopérants travaillant dans les pays arabes a atteint 14.446, soit 58% du total des coopérants, 6.595 en Europe, soit 26% du total général, 2.918 en Amérique du Nord, soit 12 % du total général, 466 en Afrique, et 596 coopérants dans les organisations internationales.</w:t>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Quant à la répartition sectorielle des coopérants, le secteur de l'éducation occupe la première place en termes du nombre de coopérants détachés à l'agence, puisqu'il atteint 9.285 coopérants, soit 37 % du total général, suivi du secteur de la santé avec 7.767 coopérants, soit 31 % du total général, et le secteur de l'administration occupe la troisième place, avec un total de 1.323 et le secteur de l’informatique et des médias, avec un total de 1.024 coopérants.</w:t>
      </w:r>
    </w:p>
    <w:p w:rsidR="00B325B4" w:rsidRDefault="00B325B4" w:rsidP="0055616F">
      <w:pPr>
        <w:tabs>
          <w:tab w:val="left" w:pos="2340"/>
        </w:tabs>
        <w:jc w:val="both"/>
        <w:rPr>
          <w:rFonts w:asciiTheme="majorBidi" w:hAnsiTheme="majorBidi" w:cstheme="majorBidi" w:hint="cs"/>
          <w:sz w:val="32"/>
          <w:szCs w:val="32"/>
          <w:rtl/>
        </w:rPr>
      </w:pPr>
      <w:r w:rsidRPr="00B325B4">
        <w:rPr>
          <w:rFonts w:asciiTheme="majorBidi" w:hAnsiTheme="majorBidi" w:cstheme="majorBidi"/>
          <w:sz w:val="32"/>
          <w:szCs w:val="32"/>
        </w:rPr>
        <w:t>En outre, l’agence s’engage à contribuer à un meilleur système de gouvernance de placement des compétences tunisiennes à l’étranger qui fonctionne dans l'intérêt de tous, et dans le cadre d’une coopération internationale cohérente et coordonnée</w:t>
      </w:r>
      <w:r w:rsidR="0055616F">
        <w:rPr>
          <w:rFonts w:asciiTheme="majorBidi" w:hAnsiTheme="majorBidi" w:cstheme="majorBidi" w:hint="cs"/>
          <w:sz w:val="32"/>
          <w:szCs w:val="32"/>
          <w:rtl/>
        </w:rPr>
        <w:t>.</w:t>
      </w:r>
      <w:r w:rsidRPr="00B325B4">
        <w:rPr>
          <w:rFonts w:asciiTheme="majorBidi" w:hAnsiTheme="majorBidi" w:cstheme="majorBidi"/>
          <w:sz w:val="32"/>
          <w:szCs w:val="32"/>
        </w:rPr>
        <w:t xml:space="preserve"> </w:t>
      </w:r>
    </w:p>
    <w:p w:rsidR="001E31B5" w:rsidRDefault="001E31B5" w:rsidP="0055616F">
      <w:pPr>
        <w:tabs>
          <w:tab w:val="left" w:pos="2340"/>
        </w:tabs>
        <w:jc w:val="both"/>
        <w:rPr>
          <w:rFonts w:asciiTheme="majorBidi" w:hAnsiTheme="majorBidi" w:cstheme="majorBidi" w:hint="cs"/>
          <w:sz w:val="32"/>
          <w:szCs w:val="32"/>
          <w:rtl/>
        </w:rPr>
      </w:pPr>
    </w:p>
    <w:p w:rsidR="001E31B5" w:rsidRPr="001E31B5" w:rsidRDefault="001E31B5" w:rsidP="0055616F">
      <w:pPr>
        <w:pStyle w:val="Paragraphedeliste"/>
        <w:numPr>
          <w:ilvl w:val="0"/>
          <w:numId w:val="3"/>
        </w:numPr>
        <w:tabs>
          <w:tab w:val="left" w:pos="2340"/>
        </w:tabs>
        <w:spacing w:line="240" w:lineRule="auto"/>
        <w:jc w:val="both"/>
        <w:rPr>
          <w:rStyle w:val="Emphaseple"/>
          <w:rFonts w:asciiTheme="majorBidi" w:hAnsiTheme="majorBidi" w:cstheme="majorBidi" w:hint="cs"/>
          <w:i w:val="0"/>
          <w:iCs w:val="0"/>
          <w:color w:val="auto"/>
          <w:sz w:val="32"/>
          <w:szCs w:val="32"/>
        </w:rPr>
      </w:pPr>
      <w:r w:rsidRPr="001E31B5">
        <w:rPr>
          <w:rStyle w:val="Emphaseple"/>
          <w:rFonts w:asciiTheme="majorBidi" w:hAnsiTheme="majorBidi" w:cstheme="majorBidi"/>
          <w:b/>
          <w:bCs/>
          <w:color w:val="FF0000"/>
          <w:sz w:val="32"/>
          <w:szCs w:val="32"/>
        </w:rPr>
        <w:t>Coopération Sud-Sud</w:t>
      </w:r>
    </w:p>
    <w:p w:rsidR="001E31B5" w:rsidRPr="001E31B5" w:rsidRDefault="001E31B5" w:rsidP="001E31B5">
      <w:pPr>
        <w:tabs>
          <w:tab w:val="left" w:pos="2340"/>
        </w:tabs>
        <w:spacing w:line="240" w:lineRule="auto"/>
        <w:ind w:left="360"/>
        <w:jc w:val="both"/>
        <w:rPr>
          <w:rFonts w:asciiTheme="majorBidi" w:hAnsiTheme="majorBidi" w:cstheme="majorBidi" w:hint="cs"/>
          <w:sz w:val="32"/>
          <w:szCs w:val="32"/>
          <w:rtl/>
          <w:lang w:bidi="ar-TN"/>
        </w:rPr>
      </w:pPr>
    </w:p>
    <w:p w:rsidR="00B325B4" w:rsidRPr="00B325B4" w:rsidRDefault="00B325B4" w:rsidP="001E31B5">
      <w:pPr>
        <w:jc w:val="both"/>
        <w:rPr>
          <w:rFonts w:asciiTheme="majorBidi" w:hAnsiTheme="majorBidi" w:cstheme="majorBidi"/>
          <w:sz w:val="32"/>
          <w:szCs w:val="32"/>
        </w:rPr>
      </w:pPr>
      <w:r w:rsidRPr="00B325B4">
        <w:rPr>
          <w:rFonts w:asciiTheme="majorBidi" w:hAnsiTheme="majorBidi" w:cstheme="majorBidi"/>
          <w:sz w:val="32"/>
          <w:szCs w:val="32"/>
        </w:rPr>
        <w:t>Dans le cadre de son rôle d'organisme national chargé de mettre en œuvre les activités de coopération Sud-Sud et de coopération triangulaire, fondée sur l'échange de connaissances, d'expertises et d'expériences tunisiennes réussies avec divers pays frères et amis, l'Agence Tunisienne de Coopération Technique a mis en œuvre un certain nombre de projets importants qui contribuent à faire connaître nos compétences et expériences institutionnelles et individuelles dans di</w:t>
      </w:r>
      <w:r w:rsidR="001E31B5">
        <w:rPr>
          <w:rFonts w:asciiTheme="majorBidi" w:hAnsiTheme="majorBidi" w:cstheme="majorBidi"/>
          <w:sz w:val="32"/>
          <w:szCs w:val="32"/>
        </w:rPr>
        <w:t>vers domaines du développement,</w:t>
      </w:r>
      <w:r w:rsidR="001E31B5">
        <w:rPr>
          <w:rFonts w:asciiTheme="majorBidi" w:hAnsiTheme="majorBidi" w:cstheme="majorBidi" w:hint="cs"/>
          <w:sz w:val="32"/>
          <w:szCs w:val="32"/>
          <w:rtl/>
        </w:rPr>
        <w:t xml:space="preserve"> </w:t>
      </w:r>
      <w:r w:rsidRPr="00B325B4">
        <w:rPr>
          <w:rFonts w:asciiTheme="majorBidi" w:hAnsiTheme="majorBidi" w:cstheme="majorBidi"/>
          <w:sz w:val="32"/>
          <w:szCs w:val="32"/>
        </w:rPr>
        <w:t xml:space="preserve">et la consolidation du rôle de la Tunisie dans la </w:t>
      </w:r>
      <w:r w:rsidRPr="00B325B4">
        <w:rPr>
          <w:rFonts w:asciiTheme="majorBidi" w:hAnsiTheme="majorBidi" w:cstheme="majorBidi"/>
          <w:sz w:val="32"/>
          <w:szCs w:val="32"/>
        </w:rPr>
        <w:lastRenderedPageBreak/>
        <w:t>contribution aux efforts des pays du Sud pour atteindre les objectifs de développement durable ,dont les plus importants sont :</w:t>
      </w:r>
    </w:p>
    <w:p w:rsidR="00B325B4" w:rsidRPr="0055616F" w:rsidRDefault="00B325B4" w:rsidP="0055616F">
      <w:pPr>
        <w:pStyle w:val="Paragraphedeliste"/>
        <w:numPr>
          <w:ilvl w:val="0"/>
          <w:numId w:val="1"/>
        </w:numPr>
        <w:ind w:left="426"/>
        <w:jc w:val="both"/>
        <w:rPr>
          <w:rFonts w:asciiTheme="majorBidi" w:hAnsiTheme="majorBidi" w:cstheme="majorBidi"/>
          <w:sz w:val="32"/>
          <w:szCs w:val="32"/>
        </w:rPr>
      </w:pPr>
      <w:r w:rsidRPr="0055616F">
        <w:rPr>
          <w:rFonts w:asciiTheme="majorBidi" w:hAnsiTheme="majorBidi" w:cstheme="majorBidi"/>
          <w:sz w:val="32"/>
          <w:szCs w:val="32"/>
        </w:rPr>
        <w:t>Mise en place d'une plateforme de services financiers électroniques via téléphone mobile pour la Poste Mauritanienne et la Poste Djiboutienne</w:t>
      </w:r>
    </w:p>
    <w:p w:rsidR="00B325B4" w:rsidRPr="0055616F" w:rsidRDefault="00B325B4" w:rsidP="0055616F">
      <w:pPr>
        <w:pStyle w:val="Paragraphedeliste"/>
        <w:numPr>
          <w:ilvl w:val="0"/>
          <w:numId w:val="1"/>
        </w:numPr>
        <w:ind w:left="426"/>
        <w:jc w:val="both"/>
        <w:rPr>
          <w:rFonts w:asciiTheme="majorBidi" w:hAnsiTheme="majorBidi" w:cstheme="majorBidi"/>
          <w:sz w:val="32"/>
          <w:szCs w:val="32"/>
        </w:rPr>
      </w:pPr>
      <w:r w:rsidRPr="0055616F">
        <w:rPr>
          <w:rFonts w:asciiTheme="majorBidi" w:hAnsiTheme="majorBidi" w:cstheme="majorBidi"/>
          <w:sz w:val="32"/>
          <w:szCs w:val="32"/>
        </w:rPr>
        <w:t>Renforcement des capacités du laboratoire d'analyses de l'hôpital Al-</w:t>
      </w:r>
      <w:proofErr w:type="spellStart"/>
      <w:r w:rsidRPr="0055616F">
        <w:rPr>
          <w:rFonts w:asciiTheme="majorBidi" w:hAnsiTheme="majorBidi" w:cstheme="majorBidi"/>
          <w:sz w:val="32"/>
          <w:szCs w:val="32"/>
        </w:rPr>
        <w:t>Maarouf</w:t>
      </w:r>
      <w:proofErr w:type="spellEnd"/>
      <w:r w:rsidRPr="0055616F">
        <w:rPr>
          <w:rFonts w:asciiTheme="majorBidi" w:hAnsiTheme="majorBidi" w:cstheme="majorBidi"/>
          <w:sz w:val="32"/>
          <w:szCs w:val="32"/>
        </w:rPr>
        <w:t xml:space="preserve"> aux Comores dans le cadre de la lutte contre la pandémie Corona « </w:t>
      </w:r>
      <w:proofErr w:type="spellStart"/>
      <w:r w:rsidRPr="0055616F">
        <w:rPr>
          <w:rFonts w:asciiTheme="majorBidi" w:hAnsiTheme="majorBidi" w:cstheme="majorBidi"/>
          <w:sz w:val="32"/>
          <w:szCs w:val="32"/>
        </w:rPr>
        <w:t>Covid</w:t>
      </w:r>
      <w:proofErr w:type="spellEnd"/>
      <w:r w:rsidRPr="0055616F">
        <w:rPr>
          <w:rFonts w:asciiTheme="majorBidi" w:hAnsiTheme="majorBidi" w:cstheme="majorBidi"/>
          <w:sz w:val="32"/>
          <w:szCs w:val="32"/>
        </w:rPr>
        <w:t>-19 ».</w:t>
      </w:r>
    </w:p>
    <w:p w:rsidR="00B325B4" w:rsidRPr="0055616F" w:rsidRDefault="00B325B4" w:rsidP="0055616F">
      <w:pPr>
        <w:pStyle w:val="Paragraphedeliste"/>
        <w:numPr>
          <w:ilvl w:val="0"/>
          <w:numId w:val="1"/>
        </w:numPr>
        <w:ind w:left="426"/>
        <w:jc w:val="both"/>
        <w:rPr>
          <w:rFonts w:asciiTheme="majorBidi" w:hAnsiTheme="majorBidi" w:cstheme="majorBidi"/>
          <w:sz w:val="32"/>
          <w:szCs w:val="32"/>
        </w:rPr>
      </w:pPr>
      <w:r w:rsidRPr="0055616F">
        <w:rPr>
          <w:rFonts w:asciiTheme="majorBidi" w:hAnsiTheme="majorBidi" w:cstheme="majorBidi"/>
          <w:sz w:val="32"/>
          <w:szCs w:val="32"/>
        </w:rPr>
        <w:t>Développement de la chaîne de valeur d'exportation des produits agricoles (mangues et noix de cajou)  en République de Guinée,</w:t>
      </w:r>
    </w:p>
    <w:p w:rsidR="00B325B4" w:rsidRPr="0055616F" w:rsidRDefault="00B325B4" w:rsidP="0055616F">
      <w:pPr>
        <w:pStyle w:val="Paragraphedeliste"/>
        <w:numPr>
          <w:ilvl w:val="0"/>
          <w:numId w:val="1"/>
        </w:numPr>
        <w:ind w:left="426"/>
        <w:jc w:val="both"/>
        <w:rPr>
          <w:rFonts w:asciiTheme="majorBidi" w:hAnsiTheme="majorBidi" w:cstheme="majorBidi"/>
          <w:sz w:val="32"/>
          <w:szCs w:val="32"/>
        </w:rPr>
      </w:pPr>
      <w:r w:rsidRPr="0055616F">
        <w:rPr>
          <w:rFonts w:asciiTheme="majorBidi" w:hAnsiTheme="majorBidi" w:cstheme="majorBidi"/>
          <w:sz w:val="32"/>
          <w:szCs w:val="32"/>
        </w:rPr>
        <w:t xml:space="preserve">Contribuer à soutenir la sécurité alimentaire au Tchad en développant les capacités des agriculteurs dans le domaine des techniques agricoles modernes adaptées aux conditions climatiques et environnementales, et </w:t>
      </w:r>
      <w:proofErr w:type="gramStart"/>
      <w:r w:rsidRPr="0055616F">
        <w:rPr>
          <w:rFonts w:asciiTheme="majorBidi" w:hAnsiTheme="majorBidi" w:cstheme="majorBidi"/>
          <w:sz w:val="32"/>
          <w:szCs w:val="32"/>
        </w:rPr>
        <w:t>ce ,</w:t>
      </w:r>
      <w:proofErr w:type="gramEnd"/>
      <w:r w:rsidRPr="0055616F">
        <w:rPr>
          <w:rFonts w:asciiTheme="majorBidi" w:hAnsiTheme="majorBidi" w:cstheme="majorBidi"/>
          <w:sz w:val="32"/>
          <w:szCs w:val="32"/>
        </w:rPr>
        <w:t xml:space="preserve"> en partenariat avec l'Institut des Zones Arides de Médenine</w:t>
      </w:r>
    </w:p>
    <w:p w:rsidR="00B325B4" w:rsidRPr="0055616F" w:rsidRDefault="00B325B4" w:rsidP="0055616F">
      <w:pPr>
        <w:pStyle w:val="Paragraphedeliste"/>
        <w:numPr>
          <w:ilvl w:val="0"/>
          <w:numId w:val="1"/>
        </w:numPr>
        <w:ind w:left="426"/>
        <w:jc w:val="both"/>
        <w:rPr>
          <w:rFonts w:asciiTheme="majorBidi" w:hAnsiTheme="majorBidi" w:cstheme="majorBidi"/>
          <w:sz w:val="32"/>
          <w:szCs w:val="32"/>
        </w:rPr>
      </w:pPr>
      <w:r w:rsidRPr="0055616F">
        <w:rPr>
          <w:rFonts w:asciiTheme="majorBidi" w:hAnsiTheme="majorBidi" w:cstheme="majorBidi"/>
          <w:sz w:val="32"/>
          <w:szCs w:val="32"/>
        </w:rPr>
        <w:t>Développer des services financiers virtuels pour La Poste de Djibouti</w:t>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 xml:space="preserve">Ces projets ont été mis en œuvre dans le cadre d'une coopération tripartite avec la Banque Islamique de Développement, en partenariat avec des institutions tunisiennes telles que la Poste Tunisienne, le Centre de Promotion des Exportations, l'Institut Pasteur et l'Institut des Zones Arides de Médenine. </w:t>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 xml:space="preserve">Dans le cadre de la coopération Sud-Sud, au cours de l'année 2023, 87 experts ont été dépêchés, notamment en Mauritanie, en Côte d'Ivoire, au Niger, au Togo et au Royaume d'Arabie Saoudite, dans les domaines des communications, des réseaux, de l'énergie, médias et agriculture. </w:t>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Au cours de l’année 2023, l’Agence a organisée des sessions de formation dans différents domaines au profit de 228 cadres de différents pays</w:t>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 xml:space="preserve">Une visite d'étude a également été organisée durant cette période pour une délégation composée de sept cadres du Ministère de l'Intégration Régionale et de la Francophonie de la République Démocratique du Congo pour connaître l'expérience tunisienne dans de nombreux domaines tels </w:t>
      </w:r>
      <w:r w:rsidRPr="00B325B4">
        <w:rPr>
          <w:rFonts w:asciiTheme="majorBidi" w:hAnsiTheme="majorBidi" w:cstheme="majorBidi"/>
          <w:sz w:val="32"/>
          <w:szCs w:val="32"/>
        </w:rPr>
        <w:lastRenderedPageBreak/>
        <w:t>que le développement économique, l'intégration régionale, l'environnement, le genre, la gouvernance et les affaires sociales.</w:t>
      </w:r>
    </w:p>
    <w:p w:rsidR="001E31B5" w:rsidRPr="001E31B5" w:rsidRDefault="001E31B5" w:rsidP="001E31B5">
      <w:pPr>
        <w:tabs>
          <w:tab w:val="left" w:pos="1095"/>
        </w:tabs>
        <w:jc w:val="both"/>
        <w:rPr>
          <w:rFonts w:asciiTheme="majorBidi" w:hAnsiTheme="majorBidi" w:cstheme="majorBidi" w:hint="cs"/>
          <w:sz w:val="4"/>
          <w:szCs w:val="4"/>
          <w:rtl/>
        </w:rPr>
      </w:pPr>
      <w:r>
        <w:rPr>
          <w:rFonts w:asciiTheme="majorBidi" w:hAnsiTheme="majorBidi" w:cstheme="majorBidi"/>
          <w:sz w:val="32"/>
          <w:szCs w:val="32"/>
        </w:rPr>
        <w:tab/>
      </w:r>
    </w:p>
    <w:p w:rsidR="00B325B4" w:rsidRPr="00B325B4" w:rsidRDefault="00B325B4" w:rsidP="00B325B4">
      <w:pPr>
        <w:jc w:val="both"/>
        <w:rPr>
          <w:rFonts w:asciiTheme="majorBidi" w:hAnsiTheme="majorBidi" w:cstheme="majorBidi"/>
          <w:sz w:val="32"/>
          <w:szCs w:val="32"/>
        </w:rPr>
      </w:pPr>
      <w:r w:rsidRPr="00B325B4">
        <w:rPr>
          <w:rFonts w:asciiTheme="majorBidi" w:hAnsiTheme="majorBidi" w:cstheme="majorBidi"/>
          <w:sz w:val="32"/>
          <w:szCs w:val="32"/>
        </w:rPr>
        <w:t>Dans le cadre des efforts de l'Agence visant à promouvoir l'activité de coopération Sud-Sud et à offrir aux institutions tunisiennes des opportunités de coopération au niveau international, elle a organisé au cours du mois de mai 2023 aux Comores des journées portes ouvertes au cours desquelles ont participés des représentants des secteurs public et privé dans les domaines de la santé, de la formation professionnelle, de l'éducation et des technologies de l'information, de la femme et des archives, en coordination avec l'Agence des Comorienne pour la Coopération internationale et avec l'appui de la Banque islamique de Développement, considérée comme un partenaire stratégique de l'Agence.</w:t>
      </w:r>
    </w:p>
    <w:sectPr w:rsidR="00B325B4" w:rsidRPr="00B325B4" w:rsidSect="00B325B4">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01452"/>
    <w:multiLevelType w:val="hybridMultilevel"/>
    <w:tmpl w:val="8522E9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510EF8"/>
    <w:multiLevelType w:val="hybridMultilevel"/>
    <w:tmpl w:val="0916FB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532F783E"/>
    <w:multiLevelType w:val="hybridMultilevel"/>
    <w:tmpl w:val="8522E9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D14"/>
    <w:rsid w:val="000F4D14"/>
    <w:rsid w:val="001E31B5"/>
    <w:rsid w:val="0055616F"/>
    <w:rsid w:val="007324BE"/>
    <w:rsid w:val="00B325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Paragraphe EI,EC,Titre 2 - paragraphe,lp1,List Paragraph1,References,Sommaire,Paragraphe de liste1,Use Case List Paragraph,RIHAB3,Liste couleur - Accent 11,Bullets,Numbered List Paragraph,Bullet Points,l"/>
    <w:basedOn w:val="Normal"/>
    <w:link w:val="ParagraphedelisteCar"/>
    <w:uiPriority w:val="34"/>
    <w:qFormat/>
    <w:rsid w:val="0055616F"/>
    <w:pPr>
      <w:ind w:left="720"/>
      <w:contextualSpacing/>
    </w:pPr>
  </w:style>
  <w:style w:type="character" w:styleId="Emphaseple">
    <w:name w:val="Subtle Emphasis"/>
    <w:basedOn w:val="Policepardfaut"/>
    <w:uiPriority w:val="19"/>
    <w:qFormat/>
    <w:rsid w:val="0055616F"/>
    <w:rPr>
      <w:i/>
      <w:iCs/>
      <w:color w:val="404040" w:themeColor="text1" w:themeTint="BF"/>
    </w:rPr>
  </w:style>
  <w:style w:type="character" w:customStyle="1" w:styleId="ParagraphedelisteCar">
    <w:name w:val="Paragraphe de liste Car"/>
    <w:aliases w:val="List Paragraph (numbered (a)) Car,Paragraphe EI Car,EC Car,Titre 2 - paragraphe Car,lp1 Car,List Paragraph1 Car,References Car,Sommaire Car,Paragraphe de liste1 Car,Use Case List Paragraph Car,RIHAB3 Car,Bullets Car,l Car"/>
    <w:link w:val="Paragraphedeliste"/>
    <w:uiPriority w:val="34"/>
    <w:qFormat/>
    <w:locked/>
    <w:rsid w:val="005561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970</Words>
  <Characters>5340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AC513</dc:creator>
  <cp:lastModifiedBy>AC513</cp:lastModifiedBy>
  <cp:revision>3</cp:revision>
  <dcterms:created xsi:type="dcterms:W3CDTF">2024-01-26T13:15:00Z</dcterms:created>
  <dcterms:modified xsi:type="dcterms:W3CDTF">2024-01-26T13:32:00Z</dcterms:modified>
</cp:coreProperties>
</file>